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3FD" w14:textId="77777777" w:rsidR="00AD7BA7" w:rsidRPr="007B4B26" w:rsidRDefault="003B3EAF" w:rsidP="00AD7BA7">
      <w:pPr>
        <w:widowControl w:val="0"/>
        <w:autoSpaceDE w:val="0"/>
        <w:autoSpaceDN w:val="0"/>
        <w:adjustRightInd w:val="0"/>
        <w:spacing w:after="0" w:line="240" w:lineRule="auto"/>
        <w:jc w:val="right"/>
        <w:rPr>
          <w:rFonts w:cs="Calibri"/>
          <w:b/>
          <w:bCs/>
          <w:sz w:val="20"/>
          <w:szCs w:val="20"/>
        </w:rPr>
      </w:pPr>
      <w:bookmarkStart w:id="0" w:name="_GoBack"/>
      <w:bookmarkEnd w:id="0"/>
      <w:r w:rsidRPr="007B4B26">
        <w:rPr>
          <w:rFonts w:cs="Calibri"/>
          <w:b/>
          <w:bCs/>
          <w:sz w:val="20"/>
          <w:szCs w:val="20"/>
        </w:rPr>
        <w:t>Постановление №</w:t>
      </w:r>
      <w:r w:rsidR="00C549F6" w:rsidRPr="007B4B26">
        <w:rPr>
          <w:rFonts w:cs="Calibri"/>
          <w:b/>
          <w:bCs/>
          <w:sz w:val="20"/>
          <w:szCs w:val="20"/>
        </w:rPr>
        <w:t xml:space="preserve"> </w:t>
      </w:r>
      <w:r w:rsidRPr="007B4B26">
        <w:rPr>
          <w:rFonts w:cs="Calibri"/>
          <w:b/>
          <w:bCs/>
          <w:sz w:val="20"/>
          <w:szCs w:val="20"/>
        </w:rPr>
        <w:t>24</w:t>
      </w:r>
    </w:p>
    <w:p w14:paraId="040953FE" w14:textId="77777777" w:rsidR="00AD7BA7" w:rsidRPr="007B4B26" w:rsidRDefault="003B3EAF" w:rsidP="00AD7BA7">
      <w:pPr>
        <w:widowControl w:val="0"/>
        <w:autoSpaceDE w:val="0"/>
        <w:autoSpaceDN w:val="0"/>
        <w:adjustRightInd w:val="0"/>
        <w:spacing w:after="0" w:line="240" w:lineRule="auto"/>
        <w:jc w:val="right"/>
        <w:rPr>
          <w:rFonts w:cs="Calibri"/>
          <w:b/>
          <w:bCs/>
          <w:sz w:val="20"/>
          <w:szCs w:val="20"/>
        </w:rPr>
      </w:pPr>
      <w:r w:rsidRPr="007B4B26">
        <w:rPr>
          <w:rFonts w:cs="Calibri"/>
          <w:b/>
          <w:bCs/>
          <w:sz w:val="20"/>
          <w:szCs w:val="20"/>
        </w:rPr>
        <w:t>Форма п.45</w:t>
      </w:r>
      <w:r w:rsidR="007B3BF3" w:rsidRPr="007B4B26">
        <w:rPr>
          <w:rFonts w:cs="Calibri"/>
          <w:b/>
          <w:bCs/>
          <w:sz w:val="20"/>
          <w:szCs w:val="20"/>
        </w:rPr>
        <w:t>.подп.б</w:t>
      </w:r>
    </w:p>
    <w:p w14:paraId="040953FF" w14:textId="77777777" w:rsidR="00AD7BA7" w:rsidRPr="007B4B26" w:rsidRDefault="003B3EAF" w:rsidP="00AD7BA7">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 xml:space="preserve">      Форма раскрытия информации</w:t>
      </w:r>
    </w:p>
    <w:p w14:paraId="04095400" w14:textId="77777777" w:rsidR="00AD7BA7" w:rsidRPr="007B4B26" w:rsidRDefault="003B3EAF" w:rsidP="00A61716">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 xml:space="preserve"> гарантирующим поставщиком основных услови</w:t>
      </w:r>
      <w:r w:rsidR="00203B3F" w:rsidRPr="007B4B26">
        <w:rPr>
          <w:rFonts w:cs="Calibri"/>
          <w:b/>
          <w:bCs/>
          <w:sz w:val="20"/>
          <w:szCs w:val="20"/>
        </w:rPr>
        <w:t xml:space="preserve">й </w:t>
      </w:r>
      <w:r w:rsidRPr="007B4B26">
        <w:rPr>
          <w:rFonts w:cs="Calibri"/>
          <w:b/>
          <w:bCs/>
          <w:sz w:val="20"/>
          <w:szCs w:val="20"/>
        </w:rPr>
        <w:t>договора</w:t>
      </w:r>
    </w:p>
    <w:p w14:paraId="04095401" w14:textId="77777777" w:rsidR="00AD7BA7" w:rsidRPr="007B4B26" w:rsidRDefault="003B3EAF" w:rsidP="00AD7BA7">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купли – продажи электрической энергии  (энергоснабжения)</w:t>
      </w:r>
    </w:p>
    <w:p w14:paraId="04095402" w14:textId="77777777" w:rsidR="00AD7BA7" w:rsidRPr="007B4B26" w:rsidRDefault="00AD7BA7" w:rsidP="00AD7BA7">
      <w:pPr>
        <w:widowControl w:val="0"/>
        <w:autoSpaceDE w:val="0"/>
        <w:autoSpaceDN w:val="0"/>
        <w:adjustRightInd w:val="0"/>
        <w:spacing w:after="0" w:line="240" w:lineRule="auto"/>
        <w:jc w:val="both"/>
        <w:rPr>
          <w:rFonts w:cs="Calibri"/>
          <w:sz w:val="20"/>
          <w:szCs w:val="20"/>
        </w:rPr>
      </w:pPr>
    </w:p>
    <w:tbl>
      <w:tblPr>
        <w:tblW w:w="0" w:type="auto"/>
        <w:tblInd w:w="-5" w:type="dxa"/>
        <w:tblCellMar>
          <w:top w:w="75" w:type="dxa"/>
          <w:left w:w="0" w:type="dxa"/>
          <w:bottom w:w="75" w:type="dxa"/>
          <w:right w:w="0" w:type="dxa"/>
        </w:tblCellMar>
        <w:tblLook w:val="0000" w:firstRow="0" w:lastRow="0" w:firstColumn="0" w:lastColumn="0" w:noHBand="0" w:noVBand="0"/>
      </w:tblPr>
      <w:tblGrid>
        <w:gridCol w:w="1838"/>
        <w:gridCol w:w="1158"/>
        <w:gridCol w:w="2714"/>
        <w:gridCol w:w="8855"/>
      </w:tblGrid>
      <w:tr w:rsidR="00A1407C" w14:paraId="0409547C" w14:textId="77777777" w:rsidTr="006B6DC6">
        <w:trPr>
          <w:trHeight w:val="91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03"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4"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5"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6"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7"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8"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9"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A"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B"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C"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D"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E"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0F"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04095410" w14:textId="77777777" w:rsidR="00AD7BA7" w:rsidRPr="007B4B26" w:rsidRDefault="003B3EAF" w:rsidP="005619C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Основные условия договора купли-продажи электрической энергии</w:t>
            </w:r>
            <w:r w:rsidRPr="007B4B26">
              <w:rPr>
                <w:rFonts w:cs="Calibri"/>
                <w:b/>
                <w:sz w:val="20"/>
                <w:szCs w:val="20"/>
              </w:rPr>
              <w:t xml:space="preserve"> (энергоснабжения)</w:t>
            </w:r>
          </w:p>
          <w:p w14:paraId="04095411"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2"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3"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4"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5"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6"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7"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8"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9"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A"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B"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C"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D"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E"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1F"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0"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1"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2"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04095423"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04095424"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04095425"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04095426"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04095427"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04095428"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04095429"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A"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B"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C"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0409542D"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2E"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2F"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0"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1"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2"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3"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4"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5"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6"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7"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8"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9"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A"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B"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C"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D"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E"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3F"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40"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41"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04095442"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3"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4"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5"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6"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7"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8"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9"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A"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B"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C"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D"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E"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4F"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0"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1"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2"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3"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4"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5"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6"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7"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8"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9"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A"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B"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C"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D"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E"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5F"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04095460"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1"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2"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3"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4"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5"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6"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7"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8"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9"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A"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B"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C"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D"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E"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6F"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0"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1"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2"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3"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4"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5"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6"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7"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04095478" w14:textId="77777777" w:rsidR="000D008E" w:rsidRPr="007B4B26" w:rsidRDefault="000D008E" w:rsidP="00605728">
            <w:pPr>
              <w:widowControl w:val="0"/>
              <w:autoSpaceDE w:val="0"/>
              <w:autoSpaceDN w:val="0"/>
              <w:adjustRightInd w:val="0"/>
              <w:spacing w:after="0" w:line="240" w:lineRule="auto"/>
              <w:jc w:val="center"/>
              <w:rPr>
                <w:rFonts w:cs="Calibri"/>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9"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A"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B" w14:textId="77777777" w:rsidR="00AD7BA7" w:rsidRPr="007B4B26" w:rsidRDefault="003B3EAF" w:rsidP="00CF79E8">
            <w:pPr>
              <w:tabs>
                <w:tab w:val="left" w:pos="709"/>
                <w:tab w:val="left" w:pos="993"/>
                <w:tab w:val="left" w:pos="1134"/>
                <w:tab w:val="left" w:pos="1276"/>
              </w:tabs>
              <w:autoSpaceDE w:val="0"/>
              <w:autoSpaceDN w:val="0"/>
              <w:adjustRightInd w:val="0"/>
              <w:spacing w:after="0" w:line="240" w:lineRule="auto"/>
              <w:jc w:val="both"/>
              <w:rPr>
                <w:rFonts w:cs="Calibri"/>
                <w:sz w:val="20"/>
                <w:szCs w:val="20"/>
              </w:rPr>
            </w:pPr>
            <w:r w:rsidRPr="007B4B26">
              <w:rPr>
                <w:rFonts w:cs="Arial"/>
                <w:color w:val="000000"/>
                <w:sz w:val="20"/>
                <w:szCs w:val="20"/>
              </w:rPr>
              <w:t xml:space="preserve">Если иное не предусмотрено соглашением сторон, договор энергоснабжения (купли-продажи (поставки) </w:t>
            </w:r>
            <w:r w:rsidRPr="007B4B26">
              <w:rPr>
                <w:rFonts w:cs="Arial"/>
                <w:color w:val="000000"/>
                <w:sz w:val="20"/>
                <w:szCs w:val="20"/>
              </w:rPr>
              <w:t>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w:t>
            </w:r>
            <w:r w:rsidRPr="007B4B26">
              <w:rPr>
                <w:rFonts w:cs="Arial"/>
                <w:color w:val="000000"/>
                <w:sz w:val="20"/>
                <w:szCs w:val="20"/>
              </w:rPr>
              <w:t>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r w:rsidR="006B6DC6" w:rsidRPr="007B4B26">
              <w:rPr>
                <w:rFonts w:cs="Arial"/>
                <w:color w:val="000000"/>
                <w:sz w:val="20"/>
                <w:szCs w:val="20"/>
              </w:rPr>
              <w:t xml:space="preserve"> Договор энергоснабжения (купли-продажи (поставки) электрической энергии (мощности)) с гарантирующим поставщиком может быть также заключен на определенный срок в случае заключения договора на период электроснабжения энергопринимающих устройств потребителя по временной схеме электроснабжения.</w:t>
            </w:r>
          </w:p>
        </w:tc>
      </w:tr>
      <w:tr w:rsidR="00A1407C" w14:paraId="04095482" w14:textId="77777777"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D"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E"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7F"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Вид цены</w:t>
            </w:r>
            <w:r w:rsidRPr="007B4B26">
              <w:rPr>
                <w:rFonts w:cs="Calibri"/>
                <w:b/>
                <w:sz w:val="20"/>
                <w:szCs w:val="20"/>
              </w:rPr>
              <w:t xml:space="preserve">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0" w14:textId="77777777" w:rsidR="00AD7BA7" w:rsidRPr="007B4B26" w:rsidRDefault="003B3EAF" w:rsidP="00CF79E8">
            <w:pPr>
              <w:tabs>
                <w:tab w:val="left" w:pos="709"/>
                <w:tab w:val="left" w:pos="993"/>
                <w:tab w:val="left" w:pos="1134"/>
                <w:tab w:val="left" w:pos="1276"/>
              </w:tabs>
              <w:autoSpaceDE w:val="0"/>
              <w:autoSpaceDN w:val="0"/>
              <w:adjustRightInd w:val="0"/>
              <w:spacing w:after="0" w:line="240" w:lineRule="auto"/>
              <w:jc w:val="both"/>
              <w:rPr>
                <w:rFonts w:cs="Arial"/>
                <w:sz w:val="20"/>
                <w:szCs w:val="20"/>
              </w:rPr>
            </w:pPr>
            <w:r w:rsidRPr="007B4B26">
              <w:rPr>
                <w:rFonts w:cs="Arial"/>
                <w:color w:val="000000"/>
                <w:sz w:val="20"/>
                <w:szCs w:val="20"/>
              </w:rPr>
              <w:t>Э</w:t>
            </w:r>
            <w:r w:rsidRPr="007B4B26">
              <w:rPr>
                <w:rFonts w:cs="Arial"/>
                <w:sz w:val="20"/>
                <w:szCs w:val="20"/>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w:t>
            </w:r>
            <w:r w:rsidRPr="007B4B26">
              <w:rPr>
                <w:rFonts w:cs="Arial"/>
                <w:sz w:val="20"/>
                <w:szCs w:val="20"/>
              </w:rPr>
              <w:t>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w:t>
            </w:r>
            <w:r w:rsidRPr="007B4B26">
              <w:rPr>
                <w:rFonts w:cs="Arial"/>
                <w:sz w:val="20"/>
                <w:szCs w:val="20"/>
              </w:rPr>
              <w:t>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w:t>
            </w:r>
            <w:r w:rsidRPr="007B4B26">
              <w:rPr>
                <w:rFonts w:cs="Arial"/>
                <w:sz w:val="20"/>
                <w:szCs w:val="20"/>
              </w:rPr>
              <w:t>сти субъекта Российской Федерации в области государственного регулирования тарифов.</w:t>
            </w:r>
          </w:p>
          <w:p w14:paraId="04095481" w14:textId="77777777" w:rsidR="005C4A2A" w:rsidRPr="007B4B26" w:rsidRDefault="003B3EAF" w:rsidP="00D12FFC">
            <w:pPr>
              <w:spacing w:after="0" w:line="240" w:lineRule="auto"/>
              <w:jc w:val="both"/>
              <w:rPr>
                <w:rFonts w:cs="Calibri"/>
                <w:sz w:val="20"/>
                <w:szCs w:val="20"/>
              </w:rPr>
            </w:pPr>
            <w:r w:rsidRPr="007B4B26">
              <w:rPr>
                <w:rFonts w:eastAsia="Times New Roman" w:cs="Arial"/>
                <w:sz w:val="20"/>
                <w:szCs w:val="20"/>
                <w:lang w:eastAsia="ru-RU"/>
              </w:rP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w:t>
            </w:r>
            <w:r w:rsidRPr="007B4B26">
              <w:rPr>
                <w:rFonts w:eastAsia="Times New Roman" w:cs="Arial"/>
                <w:sz w:val="20"/>
                <w:szCs w:val="20"/>
                <w:lang w:eastAsia="ru-RU"/>
              </w:rPr>
              <w:t>нном Основными положениями порядке</w:t>
            </w:r>
            <w:r w:rsidRPr="007B4B26">
              <w:rPr>
                <w:rFonts w:cs="Calibri"/>
                <w:sz w:val="20"/>
                <w:szCs w:val="20"/>
              </w:rPr>
              <w:t xml:space="preserve">. </w:t>
            </w:r>
          </w:p>
        </w:tc>
      </w:tr>
      <w:tr w:rsidR="00A1407C" w14:paraId="04095487"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3"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4"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5"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6" w14:textId="77777777" w:rsidR="00AD7BA7" w:rsidRPr="007B4B26" w:rsidRDefault="003B3EAF" w:rsidP="00CF79E8">
            <w:pPr>
              <w:widowControl w:val="0"/>
              <w:autoSpaceDE w:val="0"/>
              <w:autoSpaceDN w:val="0"/>
              <w:adjustRightInd w:val="0"/>
              <w:spacing w:after="0" w:line="240" w:lineRule="auto"/>
              <w:jc w:val="both"/>
              <w:rPr>
                <w:rFonts w:cs="Calibri"/>
                <w:sz w:val="20"/>
                <w:szCs w:val="20"/>
              </w:rPr>
            </w:pPr>
            <w:r w:rsidRPr="007B4B26">
              <w:rPr>
                <w:rFonts w:cs="Arial"/>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r w:rsidR="001115D3">
              <w:rPr>
                <w:rFonts w:cs="Arial"/>
                <w:sz w:val="20"/>
                <w:szCs w:val="20"/>
              </w:rPr>
              <w:t>.</w:t>
            </w:r>
          </w:p>
        </w:tc>
      </w:tr>
      <w:tr w:rsidR="00A1407C" w14:paraId="04095491"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8"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9"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A"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 xml:space="preserve">Форма обеспечения </w:t>
            </w:r>
            <w:r w:rsidRPr="007B4B26">
              <w:rPr>
                <w:rFonts w:cs="Calibri"/>
                <w:b/>
                <w:sz w:val="20"/>
                <w:szCs w:val="20"/>
              </w:rPr>
              <w:t>исполнения обязательств сторон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8B" w14:textId="77777777" w:rsidR="00EC646C" w:rsidRPr="007B4B26" w:rsidRDefault="003B3EAF" w:rsidP="001A04D0">
            <w:pPr>
              <w:jc w:val="both"/>
              <w:rPr>
                <w:rFonts w:cs="Arial"/>
                <w:bCs/>
                <w:sz w:val="20"/>
                <w:szCs w:val="20"/>
              </w:rPr>
            </w:pPr>
            <w:r w:rsidRPr="007B4B26">
              <w:rPr>
                <w:rFonts w:cs="Arial"/>
                <w:bCs/>
                <w:sz w:val="20"/>
                <w:szCs w:val="20"/>
              </w:rPr>
              <w:t>В общем порядке - по соглашению  сторон.</w:t>
            </w:r>
          </w:p>
          <w:p w14:paraId="0409548C" w14:textId="77777777" w:rsidR="00746EF6" w:rsidRPr="007B4B26" w:rsidRDefault="003B3EAF" w:rsidP="00D97F3C">
            <w:pPr>
              <w:jc w:val="both"/>
              <w:rPr>
                <w:rFonts w:cs="Arial"/>
                <w:sz w:val="20"/>
                <w:szCs w:val="20"/>
              </w:rPr>
            </w:pPr>
            <w:r w:rsidRPr="007B4B26">
              <w:rPr>
                <w:rFonts w:cs="Arial"/>
                <w:bCs/>
                <w:sz w:val="20"/>
                <w:szCs w:val="20"/>
              </w:rPr>
              <w:t>Законодательством об электроэнергетике предусмотрена обязанность потребителей электрической энергии</w:t>
            </w:r>
            <w:r w:rsidRPr="007B4B26">
              <w:rPr>
                <w:rFonts w:cs="Arial"/>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7B4B26">
              <w:rPr>
                <w:rFonts w:cs="Arial"/>
                <w:bCs/>
                <w:sz w:val="20"/>
                <w:szCs w:val="20"/>
              </w:rPr>
              <w:t>предоставлять обеспечение исполнения обязательств по оплате электрической энергии (мощности)</w:t>
            </w:r>
            <w:r w:rsidRPr="007B4B26">
              <w:rPr>
                <w:rFonts w:cs="Arial"/>
                <w:sz w:val="20"/>
                <w:szCs w:val="20"/>
              </w:rPr>
              <w:t>, в виде независимой гарантии, выдаваемой банком</w:t>
            </w:r>
            <w:r w:rsidRPr="007B4B26">
              <w:rPr>
                <w:rFonts w:cs="Arial"/>
                <w:sz w:val="20"/>
                <w:szCs w:val="20"/>
              </w:rPr>
              <w:t xml:space="preserve"> (банковской гарантии), если иное не согласовано сторонами.</w:t>
            </w:r>
          </w:p>
          <w:p w14:paraId="0409548D" w14:textId="77777777" w:rsidR="004C471C" w:rsidRPr="007B4B26" w:rsidRDefault="003B3EAF" w:rsidP="00D97F3C">
            <w:pPr>
              <w:jc w:val="both"/>
              <w:rPr>
                <w:rFonts w:cs="Arial"/>
                <w:sz w:val="20"/>
                <w:szCs w:val="20"/>
              </w:rPr>
            </w:pPr>
            <w:r w:rsidRPr="007B4B26">
              <w:rPr>
                <w:rFonts w:cs="Arial"/>
                <w:sz w:val="20"/>
                <w:szCs w:val="20"/>
              </w:rPr>
              <w:t xml:space="preserve">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w:t>
            </w:r>
            <w:r w:rsidRPr="007B4B26">
              <w:rPr>
                <w:rFonts w:cs="Arial"/>
                <w:sz w:val="20"/>
                <w:szCs w:val="20"/>
              </w:rPr>
              <w:lastRenderedPageBreak/>
              <w:t>экологическим или</w:t>
            </w:r>
            <w:r w:rsidRPr="007B4B26">
              <w:rPr>
                <w:rFonts w:cs="Arial"/>
                <w:sz w:val="20"/>
                <w:szCs w:val="20"/>
              </w:rPr>
              <w:t xml:space="preserve">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0409548E" w14:textId="77777777" w:rsidR="00975708" w:rsidRPr="007B4B26" w:rsidRDefault="003B3EAF" w:rsidP="00975708">
            <w:pPr>
              <w:widowControl w:val="0"/>
              <w:autoSpaceDE w:val="0"/>
              <w:autoSpaceDN w:val="0"/>
              <w:adjustRightInd w:val="0"/>
              <w:spacing w:after="0" w:line="240" w:lineRule="auto"/>
              <w:jc w:val="both"/>
              <w:rPr>
                <w:rFonts w:cs="Arial"/>
                <w:color w:val="000000"/>
                <w:sz w:val="20"/>
                <w:szCs w:val="20"/>
              </w:rPr>
            </w:pPr>
            <w:r w:rsidRPr="007B4B26">
              <w:rPr>
                <w:rFonts w:cs="Arial"/>
                <w:color w:val="000000"/>
                <w:sz w:val="20"/>
                <w:szCs w:val="20"/>
              </w:rPr>
              <w:t>Условие о форме обеспечения исполнения обязательств по договору в отношении бюджетных организац</w:t>
            </w:r>
            <w:r w:rsidRPr="007B4B26">
              <w:rPr>
                <w:rFonts w:cs="Arial"/>
                <w:color w:val="000000"/>
                <w:sz w:val="20"/>
                <w:szCs w:val="20"/>
              </w:rPr>
              <w:t>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14:paraId="0409548F" w14:textId="77777777" w:rsidR="004C471C" w:rsidRPr="007B4B26" w:rsidRDefault="004C471C" w:rsidP="00975708">
            <w:pPr>
              <w:widowControl w:val="0"/>
              <w:autoSpaceDE w:val="0"/>
              <w:autoSpaceDN w:val="0"/>
              <w:adjustRightInd w:val="0"/>
              <w:spacing w:after="0" w:line="240" w:lineRule="auto"/>
              <w:jc w:val="both"/>
              <w:rPr>
                <w:rFonts w:cs="Arial"/>
                <w:color w:val="000000"/>
                <w:sz w:val="20"/>
                <w:szCs w:val="20"/>
              </w:rPr>
            </w:pPr>
          </w:p>
          <w:p w14:paraId="04095490" w14:textId="77777777" w:rsidR="001745D4" w:rsidRPr="007B4B26" w:rsidRDefault="003B3EAF" w:rsidP="00F15AAE">
            <w:pPr>
              <w:widowControl w:val="0"/>
              <w:autoSpaceDE w:val="0"/>
              <w:autoSpaceDN w:val="0"/>
              <w:adjustRightInd w:val="0"/>
              <w:spacing w:after="0" w:line="240" w:lineRule="auto"/>
              <w:jc w:val="both"/>
              <w:rPr>
                <w:rFonts w:cs="Arial"/>
                <w:color w:val="000000"/>
                <w:sz w:val="20"/>
                <w:szCs w:val="20"/>
                <w:highlight w:val="yellow"/>
              </w:rPr>
            </w:pPr>
            <w:r w:rsidRPr="007B4B26">
              <w:rPr>
                <w:rFonts w:cs="Arial"/>
                <w:color w:val="000000"/>
                <w:sz w:val="20"/>
                <w:szCs w:val="20"/>
              </w:rPr>
              <w:t>Законодательством об электроэнергетике и жилищным законодательством предусмотрена обязанность по оплате</w:t>
            </w:r>
            <w:r w:rsidRPr="007B4B26">
              <w:rPr>
                <w:rFonts w:cs="Arial"/>
                <w:color w:val="000000"/>
                <w:sz w:val="20"/>
                <w:szCs w:val="20"/>
              </w:rPr>
              <w:t xml:space="preserve">  пени как  форма обеспечения обязательств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w:t>
            </w:r>
            <w:r w:rsidRPr="007B4B26">
              <w:rPr>
                <w:rFonts w:cs="Arial"/>
                <w:color w:val="000000"/>
                <w:sz w:val="20"/>
                <w:szCs w:val="20"/>
              </w:rPr>
              <w:t>еляется в зависимости от категории потребителя и  указаны в Федеральном законе</w:t>
            </w:r>
            <w:r w:rsidR="00F15AAE">
              <w:rPr>
                <w:rFonts w:cs="Arial"/>
                <w:sz w:val="20"/>
                <w:szCs w:val="20"/>
              </w:rPr>
              <w:t xml:space="preserve"> от 26.03.2003 №</w:t>
            </w:r>
            <w:r w:rsidR="00F15AAE" w:rsidRPr="007B4B26">
              <w:rPr>
                <w:rFonts w:cs="Arial"/>
                <w:sz w:val="20"/>
                <w:szCs w:val="20"/>
              </w:rPr>
              <w:t xml:space="preserve"> 35-ФЗ</w:t>
            </w:r>
            <w:r w:rsidRPr="007B4B26">
              <w:rPr>
                <w:rFonts w:cs="Arial"/>
                <w:color w:val="000000"/>
                <w:sz w:val="20"/>
                <w:szCs w:val="20"/>
              </w:rPr>
              <w:t xml:space="preserve"> «Об электроэнергетике» и Жилищном кодексе Российской Федерации.</w:t>
            </w:r>
          </w:p>
        </w:tc>
      </w:tr>
      <w:tr w:rsidR="00A1407C" w14:paraId="0409549B" w14:textId="77777777" w:rsidTr="005E29B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2"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3"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4"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5" w14:textId="77777777" w:rsidR="00D7146D" w:rsidRPr="007B4B26" w:rsidRDefault="003B3EAF" w:rsidP="005B27FD">
            <w:pPr>
              <w:jc w:val="both"/>
              <w:rPr>
                <w:rFonts w:cs="Arial"/>
                <w:sz w:val="20"/>
                <w:szCs w:val="20"/>
              </w:rPr>
            </w:pPr>
            <w:r>
              <w:rPr>
                <w:rFonts w:cs="Arial"/>
                <w:sz w:val="20"/>
                <w:szCs w:val="20"/>
              </w:rPr>
              <w:t>Г</w:t>
            </w:r>
            <w:r w:rsidR="00DD13D2" w:rsidRPr="007B4B26">
              <w:rPr>
                <w:rFonts w:cs="Arial"/>
                <w:sz w:val="20"/>
                <w:szCs w:val="20"/>
              </w:rPr>
              <w:t xml:space="preserve">арантирующий поставщик на территории Тюменской области – в границах балансовой принадлежности электрических сетей Акционерного общества «Сибирско-Уральская энергетическая компания» </w:t>
            </w:r>
            <w:r w:rsidR="00757F6C" w:rsidRPr="007B4B26">
              <w:rPr>
                <w:rFonts w:cs="Arial"/>
                <w:sz w:val="20"/>
                <w:szCs w:val="20"/>
              </w:rPr>
              <w:t xml:space="preserve">в соответствии с Приложениями </w:t>
            </w:r>
            <w:r w:rsidR="00DD13D2" w:rsidRPr="007B4B26">
              <w:rPr>
                <w:rFonts w:cs="Arial"/>
                <w:sz w:val="20"/>
                <w:szCs w:val="20"/>
              </w:rPr>
              <w:t>к решению Региональной энергетической комиссии Тюменской области, ХМАО, ЯНАО № 44 от 09.07.2007</w:t>
            </w:r>
            <w:r w:rsidR="00262AC2" w:rsidRPr="007B4B26">
              <w:rPr>
                <w:rFonts w:cs="Arial"/>
                <w:sz w:val="20"/>
                <w:szCs w:val="20"/>
              </w:rPr>
              <w:t xml:space="preserve"> «О согласовании границ зон деятельности гарантирующих поставщиков на территории Тюменской области», в которых определен перечень точек поставки, подлежащих включению в зону деятельности гарантирующего поставщика АО «ЭК «Восток»</w:t>
            </w:r>
            <w:r w:rsidR="009E589D">
              <w:rPr>
                <w:rFonts w:cs="Arial"/>
                <w:sz w:val="20"/>
                <w:szCs w:val="20"/>
              </w:rPr>
              <w:t>.</w:t>
            </w:r>
          </w:p>
          <w:p w14:paraId="04095496" w14:textId="77777777" w:rsidR="00D7146D" w:rsidRPr="007B4B26" w:rsidRDefault="003B3EA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Ханты-Мансийского автономного округа – Югры – в границах балансовой принадлежности электрических сетей ООО «Сургутские городские электрические сети» г. Сургут, а также в границах сетевого оборудования потребителей АО «ЭК «Восток», согласно Приложению № 4 «Описание новых границ зоны деятельности гарантирующего поставщика АО «ЭК «Восток» по точкам поставки с указанием адресов на территории поселений» к приказу Департамента жилищно-коммунального комплекса и энергетики Ханты-Мансийского автономного окр</w:t>
            </w:r>
            <w:r w:rsidR="009E589D">
              <w:rPr>
                <w:rFonts w:cs="Arial"/>
                <w:sz w:val="20"/>
                <w:szCs w:val="20"/>
              </w:rPr>
              <w:t>уга – Югры № 90-П от 19.09.2013.</w:t>
            </w:r>
          </w:p>
          <w:p w14:paraId="04095497" w14:textId="77777777" w:rsidR="00D7146D" w:rsidRPr="00487596" w:rsidRDefault="003B3EA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Ямало-Ненецкого автономного округа – в границах балансовой принадлежности электрических сетей АО «Энерго-Газ-Ноябрьск», АО «Вынгапуровский тепловодоканал», ОАО «Аэропорт Сургут» (Ноябрьский филиал) на территории муниципального образования город Ноябрьск (в том числе микрорайона Вынгапуровский), а также в границах сетевого оборудования потребителей Акционерного общества «Энергосбытовая компания «Восток» согласно описанию границ, указанному в приложении № 2 к приказу Департамента тарифной политики, энергетики и жилищно-коммунального комплекса Ямало-Ненецкого автономн</w:t>
            </w:r>
            <w:r w:rsidR="009E589D">
              <w:rPr>
                <w:rFonts w:cs="Arial"/>
                <w:sz w:val="20"/>
                <w:szCs w:val="20"/>
              </w:rPr>
              <w:t>ого округа от 20</w:t>
            </w:r>
            <w:r w:rsidR="009E589D" w:rsidRPr="00487596">
              <w:rPr>
                <w:rFonts w:cs="Arial"/>
                <w:sz w:val="20"/>
                <w:szCs w:val="20"/>
              </w:rPr>
              <w:t>.03.2019 № 17-т.</w:t>
            </w:r>
          </w:p>
          <w:p w14:paraId="04095498" w14:textId="77777777" w:rsidR="00D7146D" w:rsidRPr="007B4B26" w:rsidRDefault="003B3EAF" w:rsidP="00D7146D">
            <w:pPr>
              <w:jc w:val="both"/>
              <w:rPr>
                <w:rFonts w:cs="Arial"/>
                <w:sz w:val="20"/>
                <w:szCs w:val="20"/>
              </w:rPr>
            </w:pPr>
            <w:r w:rsidRPr="00487596">
              <w:rPr>
                <w:rFonts w:cs="Arial"/>
                <w:sz w:val="20"/>
                <w:szCs w:val="20"/>
              </w:rPr>
              <w:t>Г</w:t>
            </w:r>
            <w:r w:rsidR="00DD13D2" w:rsidRPr="00487596">
              <w:rPr>
                <w:rFonts w:cs="Arial"/>
                <w:sz w:val="20"/>
                <w:szCs w:val="20"/>
              </w:rPr>
              <w:t>арантирующий поставщик на территории Курганской области - в рамках административных границ Курганской области по точкам поставки, по которым АО «ЭК «Восток» обеспечило участие в торговле электрической энергией и мощностью на оптовом рынке, согласно приложению № 1 к Постановлению Департамента государственного</w:t>
            </w:r>
            <w:r w:rsidR="00DD13D2" w:rsidRPr="007B4B26">
              <w:rPr>
                <w:rFonts w:cs="Arial"/>
                <w:sz w:val="20"/>
                <w:szCs w:val="20"/>
              </w:rPr>
              <w:t xml:space="preserve"> регулирования цен и тарифов Курганской области </w:t>
            </w:r>
            <w:r w:rsidR="00DD13D2" w:rsidRPr="007B4B26">
              <w:rPr>
                <w:rFonts w:cs="Arial"/>
                <w:sz w:val="20"/>
                <w:szCs w:val="20"/>
              </w:rPr>
              <w:lastRenderedPageBreak/>
              <w:t>«Об определении границ зоны деятельности гарантирующего поставщика» № 14-4 от 2</w:t>
            </w:r>
            <w:r w:rsidR="0030305E">
              <w:rPr>
                <w:rFonts w:cs="Arial"/>
                <w:sz w:val="20"/>
                <w:szCs w:val="20"/>
              </w:rPr>
              <w:t>3.08.2007, с 1 января 2017 года.</w:t>
            </w:r>
          </w:p>
          <w:p w14:paraId="04095499" w14:textId="77777777" w:rsidR="00D7146D" w:rsidRPr="007B4B26" w:rsidRDefault="003B3EA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Оренбургской области – в границах балансовой принадлежности сетей филиала ПАО «МРСК Волги» - «Оренбургэнерго» и присоединенным к ним сетям, входящим в периметр, ограниченный 5-ю группами точек поставки: PORENSL1, PORENSL2, PORENSL3, PORENSL4, PORENSL5 согласно приказу Департамента Оренбургской области по ценам и регулированию тарифов № 116-э/э от 30.08.2019.</w:t>
            </w:r>
          </w:p>
          <w:p w14:paraId="0409549A" w14:textId="77777777" w:rsidR="00AD7BA7" w:rsidRPr="007B4B26" w:rsidRDefault="003B3EAF" w:rsidP="00075C5D">
            <w:pPr>
              <w:jc w:val="both"/>
              <w:rPr>
                <w:rFonts w:cs="Arial"/>
                <w:sz w:val="20"/>
                <w:szCs w:val="20"/>
              </w:rPr>
            </w:pPr>
            <w:r w:rsidRPr="0030305E">
              <w:rPr>
                <w:rFonts w:cs="Arial"/>
                <w:sz w:val="20"/>
                <w:szCs w:val="20"/>
              </w:rPr>
              <w:t xml:space="preserve">АО «ЭК «Восток» является энергосбытовой организацией на территории </w:t>
            </w:r>
            <w:r w:rsidR="0067712B" w:rsidRPr="0030305E">
              <w:rPr>
                <w:rFonts w:cstheme="minorHAnsi"/>
                <w:sz w:val="20"/>
                <w:szCs w:val="20"/>
                <w:shd w:val="clear" w:color="auto" w:fill="FFFFFF"/>
              </w:rPr>
              <w:t>Свердловской, Челябинской, Оренбургской, Ростовской, Ульяновской, Астраханской, Тульской,</w:t>
            </w:r>
            <w:r w:rsidR="00F860AD" w:rsidRPr="0030305E">
              <w:rPr>
                <w:rFonts w:cstheme="minorHAnsi"/>
                <w:sz w:val="20"/>
                <w:szCs w:val="20"/>
                <w:shd w:val="clear" w:color="auto" w:fill="FFFFFF"/>
              </w:rPr>
              <w:t xml:space="preserve"> Тюменской,</w:t>
            </w:r>
            <w:r w:rsidR="0067712B" w:rsidRPr="0030305E">
              <w:rPr>
                <w:rFonts w:cstheme="minorHAnsi"/>
                <w:sz w:val="20"/>
                <w:szCs w:val="20"/>
                <w:shd w:val="clear" w:color="auto" w:fill="FFFFFF"/>
              </w:rPr>
              <w:t xml:space="preserve"> Иркутской областей, Пермского края, </w:t>
            </w:r>
            <w:r w:rsidR="009205FE" w:rsidRPr="0030305E">
              <w:rPr>
                <w:rFonts w:cstheme="minorHAnsi"/>
                <w:sz w:val="20"/>
                <w:szCs w:val="20"/>
                <w:shd w:val="clear" w:color="auto" w:fill="FFFFFF"/>
              </w:rPr>
              <w:t>Ханты-Мансийского</w:t>
            </w:r>
            <w:r w:rsidR="0067712B" w:rsidRPr="0030305E">
              <w:rPr>
                <w:rFonts w:cstheme="minorHAnsi"/>
                <w:sz w:val="20"/>
                <w:szCs w:val="20"/>
                <w:shd w:val="clear" w:color="auto" w:fill="FFFFFF"/>
              </w:rPr>
              <w:t xml:space="preserve"> округ</w:t>
            </w:r>
            <w:r w:rsidR="0021324A" w:rsidRPr="0030305E">
              <w:rPr>
                <w:rFonts w:cstheme="minorHAnsi"/>
                <w:sz w:val="20"/>
                <w:szCs w:val="20"/>
                <w:shd w:val="clear" w:color="auto" w:fill="FFFFFF"/>
              </w:rPr>
              <w:t>а</w:t>
            </w:r>
            <w:r w:rsidR="0067712B" w:rsidRPr="0030305E">
              <w:rPr>
                <w:rFonts w:cstheme="minorHAnsi"/>
                <w:sz w:val="20"/>
                <w:szCs w:val="20"/>
                <w:shd w:val="clear" w:color="auto" w:fill="FFFFFF"/>
              </w:rPr>
              <w:t>.</w:t>
            </w:r>
            <w:r w:rsidR="0067712B" w:rsidRPr="0030305E">
              <w:rPr>
                <w:rFonts w:ascii="Myriad Pro" w:hAnsi="Myriad Pro"/>
                <w:sz w:val="21"/>
                <w:szCs w:val="21"/>
                <w:shd w:val="clear" w:color="auto" w:fill="FFFFFF"/>
              </w:rPr>
              <w:t> </w:t>
            </w:r>
          </w:p>
        </w:tc>
      </w:tr>
      <w:tr w:rsidR="00A1407C" w14:paraId="040954AA"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C"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D"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E"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9F" w14:textId="77777777" w:rsidR="00FF4D26" w:rsidRPr="007B4B26" w:rsidRDefault="003B3EAF" w:rsidP="00CF79E8">
            <w:pPr>
              <w:tabs>
                <w:tab w:val="left" w:pos="709"/>
                <w:tab w:val="left" w:pos="993"/>
                <w:tab w:val="left" w:pos="1276"/>
                <w:tab w:val="left" w:pos="1418"/>
              </w:tabs>
              <w:autoSpaceDE w:val="0"/>
              <w:autoSpaceDN w:val="0"/>
              <w:adjustRightInd w:val="0"/>
              <w:spacing w:after="0" w:line="240" w:lineRule="auto"/>
              <w:jc w:val="both"/>
              <w:rPr>
                <w:rFonts w:cs="Arial"/>
                <w:color w:val="000000"/>
                <w:sz w:val="20"/>
                <w:szCs w:val="20"/>
              </w:rPr>
            </w:pPr>
            <w:r w:rsidRPr="007B4B26">
              <w:rPr>
                <w:rFonts w:cs="Arial"/>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7B4B26">
              <w:rPr>
                <w:rFonts w:cs="Arial"/>
                <w:sz w:val="20"/>
                <w:szCs w:val="20"/>
              </w:rPr>
              <w:t xml:space="preserve">Основными положениями. </w:t>
            </w:r>
            <w:r w:rsidRPr="007B4B26">
              <w:rPr>
                <w:rFonts w:cs="Arial"/>
                <w:color w:val="000000"/>
                <w:sz w:val="20"/>
                <w:szCs w:val="20"/>
              </w:rPr>
              <w:t>Если за 3</w:t>
            </w:r>
            <w:r w:rsidRPr="007B4B26">
              <w:rPr>
                <w:rFonts w:cs="Arial"/>
                <w:color w:val="000000"/>
                <w:sz w:val="20"/>
                <w:szCs w:val="20"/>
              </w:rPr>
              <w:t>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w:t>
            </w:r>
            <w:r w:rsidRPr="007B4B26">
              <w:rPr>
                <w:rFonts w:cs="Arial"/>
                <w:color w:val="000000"/>
                <w:sz w:val="20"/>
                <w:szCs w:val="20"/>
              </w:rPr>
              <w:t xml:space="preserve"> регулируются в соответствии с условиями ранее заключенного договора.</w:t>
            </w:r>
          </w:p>
          <w:p w14:paraId="040954A0" w14:textId="77777777" w:rsidR="0062265A" w:rsidRPr="007B4B26" w:rsidRDefault="0062265A" w:rsidP="00CF79E8">
            <w:pPr>
              <w:tabs>
                <w:tab w:val="left" w:pos="709"/>
                <w:tab w:val="left" w:pos="993"/>
                <w:tab w:val="left" w:pos="1276"/>
                <w:tab w:val="left" w:pos="1418"/>
              </w:tabs>
              <w:autoSpaceDE w:val="0"/>
              <w:autoSpaceDN w:val="0"/>
              <w:adjustRightInd w:val="0"/>
              <w:spacing w:after="0" w:line="240" w:lineRule="auto"/>
              <w:jc w:val="both"/>
              <w:rPr>
                <w:rFonts w:cs="Arial"/>
                <w:color w:val="000000"/>
                <w:sz w:val="20"/>
                <w:szCs w:val="20"/>
              </w:rPr>
            </w:pPr>
          </w:p>
          <w:p w14:paraId="040954A1" w14:textId="77777777" w:rsidR="0062265A" w:rsidRPr="007B4B26" w:rsidRDefault="003B3EAF" w:rsidP="0062265A">
            <w:pPr>
              <w:autoSpaceDE w:val="0"/>
              <w:autoSpaceDN w:val="0"/>
              <w:adjustRightInd w:val="0"/>
              <w:spacing w:after="0" w:line="240" w:lineRule="auto"/>
              <w:jc w:val="both"/>
              <w:rPr>
                <w:rFonts w:cs="Arial"/>
                <w:sz w:val="20"/>
                <w:szCs w:val="20"/>
              </w:rPr>
            </w:pPr>
            <w:r w:rsidRPr="007B4B26">
              <w:rPr>
                <w:rFonts w:cs="Arial"/>
                <w:sz w:val="20"/>
                <w:szCs w:val="20"/>
              </w:rPr>
              <w:t>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w:t>
            </w:r>
            <w:r w:rsidRPr="007B4B26">
              <w:rPr>
                <w:rFonts w:cs="Arial"/>
                <w:sz w:val="20"/>
                <w:szCs w:val="20"/>
              </w:rPr>
              <w:t xml:space="preserve">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
          <w:p w14:paraId="040954A2" w14:textId="77777777" w:rsidR="0062265A" w:rsidRPr="007B4B26" w:rsidRDefault="0062265A" w:rsidP="00CF79E8">
            <w:pPr>
              <w:tabs>
                <w:tab w:val="left" w:pos="709"/>
                <w:tab w:val="left" w:pos="993"/>
                <w:tab w:val="left" w:pos="1276"/>
                <w:tab w:val="left" w:pos="1418"/>
              </w:tabs>
              <w:autoSpaceDE w:val="0"/>
              <w:autoSpaceDN w:val="0"/>
              <w:adjustRightInd w:val="0"/>
              <w:spacing w:after="0" w:line="240" w:lineRule="auto"/>
              <w:jc w:val="both"/>
              <w:rPr>
                <w:rFonts w:cs="Arial"/>
                <w:sz w:val="20"/>
                <w:szCs w:val="20"/>
              </w:rPr>
            </w:pPr>
          </w:p>
          <w:p w14:paraId="040954A3" w14:textId="77777777" w:rsidR="00FF4D26" w:rsidRPr="007B4B26" w:rsidRDefault="003B3EAF" w:rsidP="00E54968">
            <w:pPr>
              <w:autoSpaceDE w:val="0"/>
              <w:autoSpaceDN w:val="0"/>
              <w:adjustRightInd w:val="0"/>
              <w:jc w:val="both"/>
              <w:rPr>
                <w:rFonts w:cs="Arial"/>
                <w:sz w:val="20"/>
                <w:szCs w:val="20"/>
              </w:rPr>
            </w:pPr>
            <w:r w:rsidRPr="007B4B26">
              <w:rPr>
                <w:rFonts w:cs="Arial"/>
                <w:sz w:val="20"/>
                <w:szCs w:val="20"/>
              </w:rPr>
              <w:t>По договору с гарантирующим поставщиком потребитель (покупатель) вправ</w:t>
            </w:r>
            <w:r w:rsidRPr="007B4B26">
              <w:rPr>
                <w:rFonts w:cs="Arial"/>
                <w:sz w:val="20"/>
                <w:szCs w:val="20"/>
              </w:rPr>
              <w:t xml:space="preserve">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w:t>
            </w:r>
            <w:r w:rsidRPr="007B4B26">
              <w:rPr>
                <w:rFonts w:cs="Arial"/>
                <w:sz w:val="20"/>
                <w:szCs w:val="20"/>
              </w:rPr>
              <w:t>электрической энергии (мощности), что должно быть подтверждено оплатой счета, выставляемого гарантирующим поставщиком</w:t>
            </w:r>
            <w:r w:rsidR="001A1FFD" w:rsidRPr="007B4B26">
              <w:rPr>
                <w:rFonts w:cs="Arial"/>
                <w:sz w:val="20"/>
                <w:szCs w:val="20"/>
              </w:rPr>
              <w:t xml:space="preserve"> в соответствии с пунктом 85 Основных положений</w:t>
            </w:r>
            <w:r w:rsidRPr="007B4B26">
              <w:rPr>
                <w:rFonts w:cs="Arial"/>
                <w:sz w:val="20"/>
                <w:szCs w:val="20"/>
              </w:rPr>
              <w:t>.</w:t>
            </w:r>
          </w:p>
          <w:p w14:paraId="040954A4" w14:textId="77777777" w:rsidR="00FF4D26" w:rsidRPr="007B4B26" w:rsidRDefault="003B3EAF" w:rsidP="00CF79E8">
            <w:pPr>
              <w:autoSpaceDE w:val="0"/>
              <w:autoSpaceDN w:val="0"/>
              <w:adjustRightInd w:val="0"/>
              <w:jc w:val="both"/>
              <w:rPr>
                <w:rFonts w:cs="Arial"/>
                <w:sz w:val="20"/>
                <w:szCs w:val="20"/>
              </w:rPr>
            </w:pPr>
            <w:r w:rsidRPr="007B4B26">
              <w:rPr>
                <w:rFonts w:cs="Arial"/>
                <w:sz w:val="20"/>
                <w:szCs w:val="20"/>
              </w:rPr>
              <w:t>Потребитель (покупатель), имеющий намерение в соответствии с Основными положениями в однос</w:t>
            </w:r>
            <w:r w:rsidRPr="007B4B26">
              <w:rPr>
                <w:rFonts w:cs="Arial"/>
                <w:sz w:val="20"/>
                <w:szCs w:val="20"/>
              </w:rPr>
              <w:t>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w:t>
            </w:r>
            <w:r w:rsidRPr="007B4B26">
              <w:rPr>
                <w:rFonts w:cs="Arial"/>
                <w:sz w:val="20"/>
                <w:szCs w:val="20"/>
              </w:rPr>
              <w:t>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040954A5" w14:textId="77777777" w:rsidR="00FF4D26" w:rsidRPr="007B4B26" w:rsidRDefault="003B3EAF" w:rsidP="00CF79E8">
            <w:pPr>
              <w:autoSpaceDE w:val="0"/>
              <w:autoSpaceDN w:val="0"/>
              <w:adjustRightInd w:val="0"/>
              <w:jc w:val="both"/>
              <w:rPr>
                <w:rFonts w:cs="Arial"/>
                <w:sz w:val="20"/>
                <w:szCs w:val="20"/>
              </w:rPr>
            </w:pPr>
            <w:r w:rsidRPr="007B4B26">
              <w:rPr>
                <w:rFonts w:cs="Arial"/>
                <w:sz w:val="20"/>
                <w:szCs w:val="20"/>
              </w:rPr>
              <w:t>При н</w:t>
            </w:r>
            <w:r w:rsidRPr="007B4B26">
              <w:rPr>
                <w:rFonts w:cs="Arial"/>
                <w:sz w:val="20"/>
                <w:szCs w:val="20"/>
              </w:rPr>
              <w:t xml:space="preserve">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9" w:history="1">
              <w:r w:rsidRPr="007B4B26">
                <w:rPr>
                  <w:rFonts w:cs="Arial"/>
                  <w:sz w:val="20"/>
                  <w:szCs w:val="20"/>
                </w:rPr>
                <w:t>пунктами 49</w:t>
              </w:r>
            </w:hyperlink>
            <w:r w:rsidRPr="007B4B26">
              <w:rPr>
                <w:rFonts w:cs="Arial"/>
                <w:sz w:val="20"/>
                <w:szCs w:val="20"/>
              </w:rPr>
              <w:t xml:space="preserve"> или </w:t>
            </w:r>
            <w:hyperlink r:id="rId10" w:history="1">
              <w:r w:rsidRPr="007B4B26">
                <w:rPr>
                  <w:rFonts w:cs="Arial"/>
                  <w:sz w:val="20"/>
                  <w:szCs w:val="20"/>
                </w:rPr>
                <w:t>50</w:t>
              </w:r>
            </w:hyperlink>
            <w:r w:rsidRPr="007B4B26">
              <w:rPr>
                <w:rFonts w:cs="Arial"/>
                <w:sz w:val="20"/>
                <w:szCs w:val="20"/>
              </w:rPr>
              <w:t xml:space="preserve"> Основных положений (оплата, потребленной электр</w:t>
            </w:r>
            <w:r w:rsidRPr="007B4B26">
              <w:rPr>
                <w:rFonts w:cs="Arial"/>
                <w:sz w:val="20"/>
                <w:szCs w:val="20"/>
              </w:rPr>
              <w:t xml:space="preserve">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w:t>
            </w:r>
            <w:r w:rsidRPr="007B4B26">
              <w:rPr>
                <w:rFonts w:cs="Arial"/>
                <w:sz w:val="20"/>
                <w:szCs w:val="20"/>
              </w:rPr>
              <w:t>в неизменном виде вплоть до момента надлежащего выполнения указанных требований.</w:t>
            </w:r>
          </w:p>
          <w:p w14:paraId="040954A6" w14:textId="77777777" w:rsidR="001A217E" w:rsidRPr="007B4B26" w:rsidRDefault="003B3EAF" w:rsidP="00CF79E8">
            <w:pPr>
              <w:autoSpaceDE w:val="0"/>
              <w:autoSpaceDN w:val="0"/>
              <w:adjustRightInd w:val="0"/>
              <w:jc w:val="both"/>
              <w:rPr>
                <w:rFonts w:cs="Arial"/>
                <w:color w:val="000000"/>
                <w:sz w:val="20"/>
                <w:szCs w:val="20"/>
              </w:rPr>
            </w:pPr>
            <w:r w:rsidRPr="007B4B26">
              <w:rPr>
                <w:rFonts w:cs="Arial"/>
                <w:sz w:val="20"/>
                <w:szCs w:val="20"/>
              </w:rPr>
              <w:t xml:space="preserve">В случае если гарантирующий поставщик не выставил счет в порядке, предусмотренном </w:t>
            </w:r>
            <w:hyperlink r:id="rId11" w:history="1">
              <w:r w:rsidRPr="007B4B26">
                <w:rPr>
                  <w:rFonts w:cs="Arial"/>
                  <w:sz w:val="20"/>
                  <w:szCs w:val="20"/>
                </w:rPr>
                <w:t>пунктом 85</w:t>
              </w:r>
            </w:hyperlink>
            <w:r w:rsidRPr="007B4B26">
              <w:rPr>
                <w:rFonts w:cs="Arial"/>
                <w:sz w:val="20"/>
                <w:szCs w:val="20"/>
              </w:rPr>
              <w:t xml:space="preserve"> Основных положений, и при этом потребитель (покупатель) выполнил в установленные сроки иные, указанные в </w:t>
            </w:r>
            <w:hyperlink r:id="rId12" w:history="1">
              <w:r w:rsidRPr="007B4B26">
                <w:rPr>
                  <w:rFonts w:cs="Arial"/>
                  <w:sz w:val="20"/>
                  <w:szCs w:val="20"/>
                </w:rPr>
                <w:t>пункте 49</w:t>
              </w:r>
            </w:hyperlink>
            <w:r w:rsidRPr="007B4B26">
              <w:rPr>
                <w:rFonts w:cs="Arial"/>
                <w:sz w:val="20"/>
                <w:szCs w:val="20"/>
              </w:rPr>
              <w:t xml:space="preserve"> или </w:t>
            </w:r>
            <w:hyperlink r:id="rId13" w:history="1">
              <w:r w:rsidRPr="007B4B26">
                <w:rPr>
                  <w:rFonts w:cs="Arial"/>
                  <w:sz w:val="20"/>
                  <w:szCs w:val="20"/>
                </w:rPr>
                <w:t>50</w:t>
              </w:r>
            </w:hyperlink>
            <w:r w:rsidR="001A43C6">
              <w:rPr>
                <w:rFonts w:cs="Arial"/>
                <w:sz w:val="20"/>
                <w:szCs w:val="20"/>
              </w:rPr>
              <w:t xml:space="preserve">  О</w:t>
            </w:r>
            <w:r w:rsidRPr="007B4B26">
              <w:rPr>
                <w:rFonts w:cs="Arial"/>
                <w:sz w:val="20"/>
                <w:szCs w:val="20"/>
              </w:rPr>
              <w:t>сновных положений требования, то от потребителя (покупателя) в целях расторже</w:t>
            </w:r>
            <w:r w:rsidRPr="007B4B26">
              <w:rPr>
                <w:rFonts w:cs="Arial"/>
                <w:sz w:val="20"/>
                <w:szCs w:val="20"/>
              </w:rPr>
              <w:t>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w:t>
            </w:r>
            <w:r w:rsidRPr="007B4B26">
              <w:rPr>
                <w:rFonts w:cs="Arial"/>
                <w:sz w:val="20"/>
                <w:szCs w:val="20"/>
              </w:rPr>
              <w:t xml:space="preserve"> поставщику имеющуюся задолженность.</w:t>
            </w:r>
            <w:r w:rsidRPr="007B4B26">
              <w:rPr>
                <w:rFonts w:cs="Arial"/>
                <w:color w:val="000000"/>
                <w:sz w:val="20"/>
                <w:szCs w:val="20"/>
              </w:rPr>
              <w:t xml:space="preserve"> </w:t>
            </w:r>
          </w:p>
          <w:p w14:paraId="040954A7" w14:textId="77777777" w:rsidR="00E54968" w:rsidRPr="007B4B26" w:rsidRDefault="003B3EAF" w:rsidP="00CF79E8">
            <w:pPr>
              <w:autoSpaceDE w:val="0"/>
              <w:autoSpaceDN w:val="0"/>
              <w:adjustRightInd w:val="0"/>
              <w:jc w:val="both"/>
              <w:rPr>
                <w:rFonts w:cs="Arial"/>
                <w:sz w:val="20"/>
                <w:szCs w:val="20"/>
              </w:rPr>
            </w:pPr>
            <w:r w:rsidRPr="007B4B26">
              <w:rPr>
                <w:rFonts w:cs="Arial"/>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14:paraId="040954A8" w14:textId="77777777" w:rsidR="00901748" w:rsidRPr="007B4B26" w:rsidRDefault="003B3EAF" w:rsidP="00391927">
            <w:pPr>
              <w:tabs>
                <w:tab w:val="left" w:pos="0"/>
                <w:tab w:val="num" w:pos="709"/>
                <w:tab w:val="left" w:pos="1134"/>
              </w:tabs>
              <w:autoSpaceDE w:val="0"/>
              <w:autoSpaceDN w:val="0"/>
              <w:adjustRightInd w:val="0"/>
              <w:spacing w:after="0" w:line="240" w:lineRule="auto"/>
              <w:jc w:val="both"/>
              <w:outlineLvl w:val="0"/>
              <w:rPr>
                <w:rFonts w:cs="Arial"/>
                <w:sz w:val="20"/>
                <w:szCs w:val="20"/>
              </w:rPr>
            </w:pPr>
            <w:r w:rsidRPr="007B4B26">
              <w:rPr>
                <w:rFonts w:cs="Arial"/>
                <w:sz w:val="20"/>
                <w:szCs w:val="20"/>
              </w:rPr>
              <w:t>В случа</w:t>
            </w:r>
            <w:r w:rsidRPr="007B4B26">
              <w:rPr>
                <w:rFonts w:cs="Arial"/>
                <w:sz w:val="20"/>
                <w:szCs w:val="20"/>
              </w:rPr>
              <w:t>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w:t>
            </w:r>
            <w:r w:rsidRPr="007B4B26">
              <w:rPr>
                <w:rFonts w:cs="Arial"/>
                <w:sz w:val="20"/>
                <w:szCs w:val="20"/>
              </w:rPr>
              <w:t xml:space="preserve">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w:t>
            </w:r>
            <w:r w:rsidR="00944F2A">
              <w:rPr>
                <w:rFonts w:cs="Arial"/>
                <w:sz w:val="20"/>
                <w:szCs w:val="20"/>
              </w:rPr>
              <w:t>д</w:t>
            </w:r>
            <w:r w:rsidRPr="007B4B26">
              <w:rPr>
                <w:rFonts w:cs="Arial"/>
                <w:sz w:val="20"/>
                <w:szCs w:val="20"/>
              </w:rPr>
              <w:t>оговора обязательств, в том числе обязательств, возникши</w:t>
            </w:r>
            <w:r w:rsidRPr="007B4B26">
              <w:rPr>
                <w:rFonts w:cs="Arial"/>
                <w:sz w:val="20"/>
                <w:szCs w:val="20"/>
              </w:rPr>
              <w:t xml:space="preserve">х вследствие применения мер ответственности за нарушение </w:t>
            </w:r>
            <w:r w:rsidR="00944F2A">
              <w:rPr>
                <w:rFonts w:cs="Arial"/>
                <w:sz w:val="20"/>
                <w:szCs w:val="20"/>
              </w:rPr>
              <w:t>д</w:t>
            </w:r>
            <w:r w:rsidRPr="007B4B26">
              <w:rPr>
                <w:rFonts w:cs="Arial"/>
                <w:sz w:val="20"/>
                <w:szCs w:val="20"/>
              </w:rPr>
              <w:t xml:space="preserve">оговора. </w:t>
            </w:r>
          </w:p>
          <w:p w14:paraId="040954A9" w14:textId="77777777" w:rsidR="00975708" w:rsidRPr="007B4B26" w:rsidRDefault="003B3EAF" w:rsidP="00391927">
            <w:pPr>
              <w:tabs>
                <w:tab w:val="left" w:pos="0"/>
                <w:tab w:val="num" w:pos="709"/>
                <w:tab w:val="left" w:pos="1134"/>
              </w:tabs>
              <w:autoSpaceDE w:val="0"/>
              <w:autoSpaceDN w:val="0"/>
              <w:adjustRightInd w:val="0"/>
              <w:spacing w:after="0" w:line="240" w:lineRule="auto"/>
              <w:jc w:val="both"/>
              <w:outlineLvl w:val="0"/>
              <w:rPr>
                <w:rFonts w:cs="Arial"/>
                <w:sz w:val="20"/>
                <w:szCs w:val="20"/>
              </w:rPr>
            </w:pPr>
            <w:r w:rsidRPr="007B4B26">
              <w:rPr>
                <w:rFonts w:cs="Arial"/>
                <w:sz w:val="20"/>
                <w:szCs w:val="20"/>
              </w:rPr>
              <w:t>Договор на оказание коммунальной услуги по энергоснабжению может быть расторгнут по основаниям, предусмотренным гражданским и жилищным законодательством Российской Федерации.</w:t>
            </w:r>
            <w:r w:rsidR="00DD13D2" w:rsidRPr="007B4B26">
              <w:rPr>
                <w:rFonts w:cs="Arial"/>
                <w:sz w:val="20"/>
                <w:szCs w:val="20"/>
              </w:rPr>
              <w:t xml:space="preserve">                                                                                                                                  </w:t>
            </w:r>
          </w:p>
        </w:tc>
      </w:tr>
      <w:tr w:rsidR="00A1407C" w14:paraId="040954B6"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AB"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AC"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AD"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AE" w14:textId="77777777" w:rsidR="00954331" w:rsidRPr="007B4B26" w:rsidRDefault="003B3EA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 xml:space="preserve">За неисполнение или ненадлежащее исполнение своих обязательств стороны договора несут </w:t>
            </w:r>
            <w:r w:rsidRPr="007B4B26">
              <w:rPr>
                <w:rFonts w:cs="Arial"/>
                <w:sz w:val="20"/>
                <w:szCs w:val="20"/>
              </w:rPr>
              <w:t>ответственность в порядке, установленном законодательством Российской Федерации.</w:t>
            </w:r>
          </w:p>
          <w:p w14:paraId="040954AF" w14:textId="77777777" w:rsidR="00954331" w:rsidRPr="007B4B26" w:rsidRDefault="003B3EA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Правилами полного и (или</w:t>
            </w:r>
            <w:r w:rsidRPr="007B4B26">
              <w:rPr>
                <w:rFonts w:cs="Arial"/>
                <w:sz w:val="20"/>
                <w:szCs w:val="20"/>
              </w:rPr>
              <w:t>) частичного ограничения режима потребления электрической энергии.</w:t>
            </w:r>
          </w:p>
          <w:p w14:paraId="040954B0" w14:textId="77777777" w:rsidR="00954331" w:rsidRPr="007B4B26" w:rsidRDefault="003B3EA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Потребитель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(или) энергопр</w:t>
            </w:r>
            <w:r w:rsidRPr="007B4B26">
              <w:rPr>
                <w:rFonts w:cs="Arial"/>
                <w:sz w:val="20"/>
                <w:szCs w:val="20"/>
              </w:rPr>
              <w:t>инимающих устройствах, а также за о</w:t>
            </w:r>
            <w:r w:rsidR="00C625F2">
              <w:rPr>
                <w:rFonts w:cs="Arial"/>
                <w:sz w:val="20"/>
                <w:szCs w:val="20"/>
              </w:rPr>
              <w:t>тказ от допуска представителей с</w:t>
            </w:r>
            <w:r w:rsidRPr="007B4B26">
              <w:rPr>
                <w:rFonts w:cs="Arial"/>
                <w:sz w:val="20"/>
                <w:szCs w:val="20"/>
              </w:rPr>
              <w:t>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w:t>
            </w:r>
            <w:r w:rsidRPr="007B4B26">
              <w:rPr>
                <w:rFonts w:cs="Arial"/>
                <w:sz w:val="20"/>
                <w:szCs w:val="20"/>
              </w:rPr>
              <w:t xml:space="preserve">ои обязательства по оплате электрической энергии и услуг, оказание которых является неотъемлемой частью процесса поставки электрической энергии) в виде  оплаты стоимости работ, проведенных </w:t>
            </w:r>
            <w:r w:rsidR="00C625F2">
              <w:rPr>
                <w:rFonts w:cs="Arial"/>
                <w:sz w:val="20"/>
                <w:szCs w:val="20"/>
              </w:rPr>
              <w:t>с</w:t>
            </w:r>
            <w:r w:rsidRPr="007B4B26">
              <w:rPr>
                <w:rFonts w:cs="Arial"/>
                <w:sz w:val="20"/>
                <w:szCs w:val="20"/>
              </w:rPr>
              <w:t>етево</w:t>
            </w:r>
            <w:r w:rsidR="00C625F2">
              <w:rPr>
                <w:rFonts w:cs="Arial"/>
                <w:sz w:val="20"/>
                <w:szCs w:val="20"/>
              </w:rPr>
              <w:t>й организацией для ограничения п</w:t>
            </w:r>
            <w:r w:rsidRPr="007B4B26">
              <w:rPr>
                <w:rFonts w:cs="Arial"/>
                <w:sz w:val="20"/>
                <w:szCs w:val="20"/>
              </w:rPr>
              <w:t>отребителя с собственных уста</w:t>
            </w:r>
            <w:r w:rsidRPr="007B4B26">
              <w:rPr>
                <w:rFonts w:cs="Arial"/>
                <w:sz w:val="20"/>
                <w:szCs w:val="20"/>
              </w:rPr>
              <w:t>новок, а также работ по восстановлению (переоборудованию) выведенных из стро</w:t>
            </w:r>
            <w:r w:rsidR="00C625F2">
              <w:rPr>
                <w:rFonts w:cs="Arial"/>
                <w:sz w:val="20"/>
                <w:szCs w:val="20"/>
              </w:rPr>
              <w:t>я для указанных целей объектов с</w:t>
            </w:r>
            <w:r w:rsidRPr="007B4B26">
              <w:rPr>
                <w:rFonts w:cs="Arial"/>
                <w:sz w:val="20"/>
                <w:szCs w:val="20"/>
              </w:rPr>
              <w:t>етевой организации и (или) иных потребителей.</w:t>
            </w:r>
          </w:p>
          <w:p w14:paraId="040954B1" w14:textId="77777777" w:rsidR="00954331" w:rsidRPr="007B4B26" w:rsidRDefault="003B3EA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 xml:space="preserve">Ответственность за надежность и качество электрической энергии, подаваемой </w:t>
            </w:r>
            <w:r w:rsidR="00C625F2">
              <w:rPr>
                <w:rFonts w:cs="Arial"/>
                <w:sz w:val="20"/>
                <w:szCs w:val="20"/>
              </w:rPr>
              <w:t>п</w:t>
            </w:r>
            <w:r w:rsidRPr="007B4B26">
              <w:rPr>
                <w:rFonts w:cs="Arial"/>
                <w:sz w:val="20"/>
                <w:szCs w:val="20"/>
              </w:rPr>
              <w:t>родавцом в точку (-и) пост</w:t>
            </w:r>
            <w:r w:rsidRPr="007B4B26">
              <w:rPr>
                <w:rFonts w:cs="Arial"/>
                <w:sz w:val="20"/>
                <w:szCs w:val="20"/>
              </w:rPr>
              <w:t>авки по договору, определяется  в соответствии с нормативными правовыми актами Российской Федерации.</w:t>
            </w:r>
          </w:p>
          <w:p w14:paraId="040954B2" w14:textId="77777777" w:rsidR="00954331" w:rsidRPr="007B4B26" w:rsidRDefault="003B3EA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При несвоевременной и (или) неполной оплате электрическ</w:t>
            </w:r>
            <w:r w:rsidR="00C625F2">
              <w:rPr>
                <w:rFonts w:cs="Arial"/>
                <w:sz w:val="20"/>
                <w:szCs w:val="20"/>
              </w:rPr>
              <w:t>ой энергии (мощности) продавцу потребитель обязан уплатить п</w:t>
            </w:r>
            <w:r w:rsidRPr="007B4B26">
              <w:rPr>
                <w:rFonts w:cs="Arial"/>
                <w:sz w:val="20"/>
                <w:szCs w:val="20"/>
              </w:rPr>
              <w:t>родавцу пени в размере и порядке, устано</w:t>
            </w:r>
            <w:r w:rsidRPr="007B4B26">
              <w:rPr>
                <w:rFonts w:cs="Arial"/>
                <w:sz w:val="20"/>
                <w:szCs w:val="20"/>
              </w:rPr>
              <w:t>вленных действующим законодательством РФ.</w:t>
            </w:r>
          </w:p>
          <w:p w14:paraId="040954B3" w14:textId="77777777" w:rsidR="00AD7BA7" w:rsidRPr="007B4B26" w:rsidRDefault="003B3EAF" w:rsidP="00CF79E8">
            <w:pPr>
              <w:widowControl w:val="0"/>
              <w:autoSpaceDE w:val="0"/>
              <w:autoSpaceDN w:val="0"/>
              <w:adjustRightInd w:val="0"/>
              <w:spacing w:after="0" w:line="240" w:lineRule="auto"/>
              <w:jc w:val="both"/>
              <w:rPr>
                <w:rFonts w:cs="Arial"/>
                <w:sz w:val="20"/>
                <w:szCs w:val="20"/>
              </w:rPr>
            </w:pPr>
            <w:r w:rsidRPr="007B4B26">
              <w:rPr>
                <w:rFonts w:cs="Arial"/>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w:t>
            </w:r>
            <w:r w:rsidRPr="007B4B26">
              <w:rPr>
                <w:rFonts w:cs="Arial"/>
                <w:sz w:val="20"/>
                <w:szCs w:val="20"/>
              </w:rPr>
              <w:t>дательством Российской Федерации и законодательством Российской Федерации об электроэнергетике.</w:t>
            </w:r>
          </w:p>
          <w:p w14:paraId="040954B4" w14:textId="77777777" w:rsidR="00100235" w:rsidRPr="007B4B26" w:rsidRDefault="003B3EAF" w:rsidP="00720CD1">
            <w:pPr>
              <w:widowControl w:val="0"/>
              <w:autoSpaceDE w:val="0"/>
              <w:autoSpaceDN w:val="0"/>
              <w:adjustRightInd w:val="0"/>
              <w:spacing w:after="0" w:line="240" w:lineRule="auto"/>
              <w:jc w:val="both"/>
              <w:rPr>
                <w:rFonts w:cs="Arial"/>
                <w:sz w:val="20"/>
                <w:szCs w:val="20"/>
              </w:rPr>
            </w:pPr>
            <w:r w:rsidRPr="007B4B26">
              <w:rPr>
                <w:rFonts w:cs="Arial"/>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p w14:paraId="040954B5" w14:textId="77777777" w:rsidR="00294878" w:rsidRPr="007B4B26" w:rsidRDefault="003B3EAF" w:rsidP="001D3D1D">
            <w:pPr>
              <w:widowControl w:val="0"/>
              <w:autoSpaceDE w:val="0"/>
              <w:autoSpaceDN w:val="0"/>
              <w:adjustRightInd w:val="0"/>
              <w:spacing w:after="0" w:line="240" w:lineRule="auto"/>
              <w:jc w:val="both"/>
              <w:rPr>
                <w:rFonts w:cs="Calibri"/>
                <w:sz w:val="20"/>
                <w:szCs w:val="20"/>
              </w:rPr>
            </w:pPr>
            <w:r w:rsidRPr="007B4B26">
              <w:rPr>
                <w:rFonts w:cs="Arial"/>
                <w:sz w:val="20"/>
                <w:szCs w:val="20"/>
              </w:rPr>
              <w:t>Ответственность потребител</w:t>
            </w:r>
            <w:r w:rsidR="001D3D1D" w:rsidRPr="007B4B26">
              <w:rPr>
                <w:rFonts w:cs="Arial"/>
                <w:sz w:val="20"/>
                <w:szCs w:val="20"/>
              </w:rPr>
              <w:t>я</w:t>
            </w:r>
            <w:r w:rsidRPr="007B4B26">
              <w:rPr>
                <w:rFonts w:cs="Arial"/>
                <w:sz w:val="20"/>
                <w:szCs w:val="20"/>
              </w:rPr>
              <w:t xml:space="preserve"> коммунальной услуги по энергоснабжению определяется в соответствии с действующим гражданским и жилищным законодательством Российской Федерации.</w:t>
            </w:r>
          </w:p>
        </w:tc>
      </w:tr>
      <w:tr w:rsidR="00A1407C" w14:paraId="040954BB" w14:textId="77777777" w:rsidTr="005E29B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B7"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B8" w14:textId="77777777" w:rsidR="00AD7BA7" w:rsidRPr="007B4B26" w:rsidRDefault="003B3EA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B9" w14:textId="77777777" w:rsidR="00AD7BA7" w:rsidRPr="007B4B26" w:rsidRDefault="003B3EA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954BA" w14:textId="77777777" w:rsidR="00AD7BA7" w:rsidRPr="007B4B26" w:rsidRDefault="003B3EAF" w:rsidP="00F74BE6">
            <w:pPr>
              <w:autoSpaceDE w:val="0"/>
              <w:autoSpaceDN w:val="0"/>
              <w:adjustRightInd w:val="0"/>
              <w:spacing w:after="0" w:line="240" w:lineRule="auto"/>
              <w:jc w:val="both"/>
              <w:rPr>
                <w:rFonts w:cs="Calibri"/>
                <w:sz w:val="20"/>
                <w:szCs w:val="20"/>
              </w:rPr>
            </w:pPr>
            <w:r w:rsidRPr="007B4B26">
              <w:rPr>
                <w:rFonts w:cs="Arial"/>
                <w:sz w:val="20"/>
                <w:szCs w:val="20"/>
              </w:rPr>
              <w:t xml:space="preserve">Обществом на официальном сайте </w:t>
            </w:r>
            <w:r w:rsidRPr="007B4B26">
              <w:rPr>
                <w:rFonts w:cs="Arial"/>
                <w:b/>
                <w:sz w:val="20"/>
                <w:szCs w:val="20"/>
                <w:lang w:val="en-US"/>
              </w:rPr>
              <w:t>www</w:t>
            </w:r>
            <w:r w:rsidRPr="007B4B26">
              <w:rPr>
                <w:rFonts w:cs="Arial"/>
                <w:b/>
                <w:sz w:val="20"/>
                <w:szCs w:val="20"/>
              </w:rPr>
              <w:t>.</w:t>
            </w:r>
            <w:r w:rsidRPr="007B4B26">
              <w:rPr>
                <w:rFonts w:cs="Arial"/>
                <w:b/>
                <w:sz w:val="20"/>
                <w:szCs w:val="20"/>
                <w:lang w:val="en-US"/>
              </w:rPr>
              <w:t>vostok</w:t>
            </w:r>
            <w:r w:rsidRPr="007B4B26">
              <w:rPr>
                <w:rFonts w:cs="Arial"/>
                <w:b/>
                <w:sz w:val="20"/>
                <w:szCs w:val="20"/>
              </w:rPr>
              <w:t>-</w:t>
            </w:r>
            <w:r w:rsidRPr="007B4B26">
              <w:rPr>
                <w:rFonts w:cs="Arial"/>
                <w:b/>
                <w:sz w:val="20"/>
                <w:szCs w:val="20"/>
                <w:lang w:val="en-US"/>
              </w:rPr>
              <w:t>electra</w:t>
            </w:r>
            <w:r w:rsidRPr="007B4B26">
              <w:rPr>
                <w:rFonts w:cs="Arial"/>
                <w:b/>
                <w:sz w:val="20"/>
                <w:szCs w:val="20"/>
              </w:rPr>
              <w:t>.</w:t>
            </w:r>
            <w:r w:rsidRPr="007B4B26">
              <w:rPr>
                <w:rFonts w:cs="Arial"/>
                <w:b/>
                <w:sz w:val="20"/>
                <w:szCs w:val="20"/>
                <w:lang w:val="en-US"/>
              </w:rPr>
              <w:t>ru</w:t>
            </w:r>
            <w:r w:rsidRPr="007B4B26">
              <w:rPr>
                <w:rFonts w:cs="Arial"/>
                <w:sz w:val="20"/>
                <w:szCs w:val="20"/>
              </w:rPr>
              <w:t xml:space="preserve"> 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w:t>
            </w:r>
            <w:r w:rsidRPr="007B4B26">
              <w:rPr>
                <w:rFonts w:cs="Arial"/>
                <w:sz w:val="20"/>
                <w:szCs w:val="20"/>
              </w:rPr>
              <w:t>телей.</w:t>
            </w:r>
          </w:p>
        </w:tc>
      </w:tr>
    </w:tbl>
    <w:p w14:paraId="040954BC"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BD"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BE"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BF"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C0"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C1"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C2" w14:textId="77777777" w:rsidR="00954331" w:rsidRPr="007B4B26" w:rsidRDefault="00954331" w:rsidP="00A45F79">
      <w:pPr>
        <w:widowControl w:val="0"/>
        <w:autoSpaceDE w:val="0"/>
        <w:autoSpaceDN w:val="0"/>
        <w:adjustRightInd w:val="0"/>
        <w:spacing w:after="0" w:line="240" w:lineRule="auto"/>
        <w:jc w:val="right"/>
        <w:rPr>
          <w:rFonts w:cs="Calibri"/>
          <w:b/>
          <w:bCs/>
          <w:sz w:val="20"/>
          <w:szCs w:val="20"/>
        </w:rPr>
      </w:pPr>
    </w:p>
    <w:p w14:paraId="040954C3"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040954C4" w14:textId="77777777" w:rsidR="00732C7B" w:rsidRPr="007B4B26" w:rsidRDefault="00732C7B" w:rsidP="00605728">
      <w:pPr>
        <w:rPr>
          <w:sz w:val="20"/>
          <w:szCs w:val="20"/>
        </w:rPr>
      </w:pPr>
    </w:p>
    <w:sectPr w:rsidR="00732C7B" w:rsidRPr="007B4B26" w:rsidSect="00A45F79">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0525B"/>
    <w:multiLevelType w:val="hybridMultilevel"/>
    <w:tmpl w:val="78A84202"/>
    <w:lvl w:ilvl="0" w:tplc="3AC87652">
      <w:start w:val="1"/>
      <w:numFmt w:val="bullet"/>
      <w:lvlText w:val=""/>
      <w:lvlJc w:val="left"/>
      <w:pPr>
        <w:ind w:left="1429" w:hanging="360"/>
      </w:pPr>
      <w:rPr>
        <w:rFonts w:ascii="Symbol" w:hAnsi="Symbol" w:hint="default"/>
      </w:rPr>
    </w:lvl>
    <w:lvl w:ilvl="1" w:tplc="C5E099AA" w:tentative="1">
      <w:start w:val="1"/>
      <w:numFmt w:val="bullet"/>
      <w:lvlText w:val="o"/>
      <w:lvlJc w:val="left"/>
      <w:pPr>
        <w:ind w:left="2149" w:hanging="360"/>
      </w:pPr>
      <w:rPr>
        <w:rFonts w:ascii="Courier New" w:hAnsi="Courier New" w:cs="Courier New" w:hint="default"/>
      </w:rPr>
    </w:lvl>
    <w:lvl w:ilvl="2" w:tplc="80363332" w:tentative="1">
      <w:start w:val="1"/>
      <w:numFmt w:val="bullet"/>
      <w:lvlText w:val=""/>
      <w:lvlJc w:val="left"/>
      <w:pPr>
        <w:ind w:left="2869" w:hanging="360"/>
      </w:pPr>
      <w:rPr>
        <w:rFonts w:ascii="Wingdings" w:hAnsi="Wingdings" w:hint="default"/>
      </w:rPr>
    </w:lvl>
    <w:lvl w:ilvl="3" w:tplc="53B6D1FE" w:tentative="1">
      <w:start w:val="1"/>
      <w:numFmt w:val="bullet"/>
      <w:lvlText w:val=""/>
      <w:lvlJc w:val="left"/>
      <w:pPr>
        <w:ind w:left="3589" w:hanging="360"/>
      </w:pPr>
      <w:rPr>
        <w:rFonts w:ascii="Symbol" w:hAnsi="Symbol" w:hint="default"/>
      </w:rPr>
    </w:lvl>
    <w:lvl w:ilvl="4" w:tplc="83A488D2" w:tentative="1">
      <w:start w:val="1"/>
      <w:numFmt w:val="bullet"/>
      <w:lvlText w:val="o"/>
      <w:lvlJc w:val="left"/>
      <w:pPr>
        <w:ind w:left="4309" w:hanging="360"/>
      </w:pPr>
      <w:rPr>
        <w:rFonts w:ascii="Courier New" w:hAnsi="Courier New" w:cs="Courier New" w:hint="default"/>
      </w:rPr>
    </w:lvl>
    <w:lvl w:ilvl="5" w:tplc="4CC6DC0A" w:tentative="1">
      <w:start w:val="1"/>
      <w:numFmt w:val="bullet"/>
      <w:lvlText w:val=""/>
      <w:lvlJc w:val="left"/>
      <w:pPr>
        <w:ind w:left="5029" w:hanging="360"/>
      </w:pPr>
      <w:rPr>
        <w:rFonts w:ascii="Wingdings" w:hAnsi="Wingdings" w:hint="default"/>
      </w:rPr>
    </w:lvl>
    <w:lvl w:ilvl="6" w:tplc="127A4F62" w:tentative="1">
      <w:start w:val="1"/>
      <w:numFmt w:val="bullet"/>
      <w:lvlText w:val=""/>
      <w:lvlJc w:val="left"/>
      <w:pPr>
        <w:ind w:left="5749" w:hanging="360"/>
      </w:pPr>
      <w:rPr>
        <w:rFonts w:ascii="Symbol" w:hAnsi="Symbol" w:hint="default"/>
      </w:rPr>
    </w:lvl>
    <w:lvl w:ilvl="7" w:tplc="C3226DC8" w:tentative="1">
      <w:start w:val="1"/>
      <w:numFmt w:val="bullet"/>
      <w:lvlText w:val="o"/>
      <w:lvlJc w:val="left"/>
      <w:pPr>
        <w:ind w:left="6469" w:hanging="360"/>
      </w:pPr>
      <w:rPr>
        <w:rFonts w:ascii="Courier New" w:hAnsi="Courier New" w:cs="Courier New" w:hint="default"/>
      </w:rPr>
    </w:lvl>
    <w:lvl w:ilvl="8" w:tplc="262240E8" w:tentative="1">
      <w:start w:val="1"/>
      <w:numFmt w:val="bullet"/>
      <w:lvlText w:val=""/>
      <w:lvlJc w:val="left"/>
      <w:pPr>
        <w:ind w:left="7189" w:hanging="360"/>
      </w:pPr>
      <w:rPr>
        <w:rFonts w:ascii="Wingdings" w:hAnsi="Wingdings" w:hint="default"/>
      </w:rPr>
    </w:lvl>
  </w:abstractNum>
  <w:abstractNum w:abstractNumId="1" w15:restartNumberingAfterBreak="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F1BEE"/>
    <w:multiLevelType w:val="hybridMultilevel"/>
    <w:tmpl w:val="DE26F056"/>
    <w:lvl w:ilvl="0" w:tplc="27A67976">
      <w:start w:val="1"/>
      <w:numFmt w:val="bullet"/>
      <w:lvlText w:val=""/>
      <w:lvlJc w:val="left"/>
      <w:pPr>
        <w:ind w:left="1287" w:hanging="360"/>
      </w:pPr>
      <w:rPr>
        <w:rFonts w:ascii="Symbol" w:hAnsi="Symbol" w:hint="default"/>
      </w:rPr>
    </w:lvl>
    <w:lvl w:ilvl="1" w:tplc="26085492">
      <w:start w:val="1"/>
      <w:numFmt w:val="bullet"/>
      <w:lvlText w:val="o"/>
      <w:lvlJc w:val="left"/>
      <w:pPr>
        <w:ind w:left="2007" w:hanging="360"/>
      </w:pPr>
      <w:rPr>
        <w:rFonts w:ascii="Courier New" w:hAnsi="Courier New" w:cs="Courier New" w:hint="default"/>
      </w:rPr>
    </w:lvl>
    <w:lvl w:ilvl="2" w:tplc="D728B6EC">
      <w:start w:val="1"/>
      <w:numFmt w:val="bullet"/>
      <w:lvlText w:val=""/>
      <w:lvlJc w:val="left"/>
      <w:pPr>
        <w:ind w:left="2727" w:hanging="360"/>
      </w:pPr>
      <w:rPr>
        <w:rFonts w:ascii="Wingdings" w:hAnsi="Wingdings" w:hint="default"/>
      </w:rPr>
    </w:lvl>
    <w:lvl w:ilvl="3" w:tplc="03CAB00E">
      <w:start w:val="1"/>
      <w:numFmt w:val="bullet"/>
      <w:lvlText w:val=""/>
      <w:lvlJc w:val="left"/>
      <w:pPr>
        <w:ind w:left="3447" w:hanging="360"/>
      </w:pPr>
      <w:rPr>
        <w:rFonts w:ascii="Symbol" w:hAnsi="Symbol" w:hint="default"/>
      </w:rPr>
    </w:lvl>
    <w:lvl w:ilvl="4" w:tplc="793E9F04">
      <w:start w:val="1"/>
      <w:numFmt w:val="bullet"/>
      <w:lvlText w:val="o"/>
      <w:lvlJc w:val="left"/>
      <w:pPr>
        <w:ind w:left="4167" w:hanging="360"/>
      </w:pPr>
      <w:rPr>
        <w:rFonts w:ascii="Courier New" w:hAnsi="Courier New" w:cs="Courier New" w:hint="default"/>
      </w:rPr>
    </w:lvl>
    <w:lvl w:ilvl="5" w:tplc="EACC54A6">
      <w:start w:val="1"/>
      <w:numFmt w:val="bullet"/>
      <w:lvlText w:val=""/>
      <w:lvlJc w:val="left"/>
      <w:pPr>
        <w:ind w:left="4887" w:hanging="360"/>
      </w:pPr>
      <w:rPr>
        <w:rFonts w:ascii="Wingdings" w:hAnsi="Wingdings" w:hint="default"/>
      </w:rPr>
    </w:lvl>
    <w:lvl w:ilvl="6" w:tplc="C1429ECE">
      <w:start w:val="1"/>
      <w:numFmt w:val="bullet"/>
      <w:lvlText w:val=""/>
      <w:lvlJc w:val="left"/>
      <w:pPr>
        <w:ind w:left="5607" w:hanging="360"/>
      </w:pPr>
      <w:rPr>
        <w:rFonts w:ascii="Symbol" w:hAnsi="Symbol" w:hint="default"/>
      </w:rPr>
    </w:lvl>
    <w:lvl w:ilvl="7" w:tplc="AD2A991E">
      <w:start w:val="1"/>
      <w:numFmt w:val="bullet"/>
      <w:lvlText w:val="o"/>
      <w:lvlJc w:val="left"/>
      <w:pPr>
        <w:ind w:left="6327" w:hanging="360"/>
      </w:pPr>
      <w:rPr>
        <w:rFonts w:ascii="Courier New" w:hAnsi="Courier New" w:cs="Courier New" w:hint="default"/>
      </w:rPr>
    </w:lvl>
    <w:lvl w:ilvl="8" w:tplc="ABF8FAFA">
      <w:start w:val="1"/>
      <w:numFmt w:val="bullet"/>
      <w:lvlText w:val=""/>
      <w:lvlJc w:val="left"/>
      <w:pPr>
        <w:ind w:left="7047" w:hanging="360"/>
      </w:pPr>
      <w:rPr>
        <w:rFonts w:ascii="Wingdings" w:hAnsi="Wingdings" w:hint="default"/>
      </w:rPr>
    </w:lvl>
  </w:abstractNum>
  <w:abstractNum w:abstractNumId="3" w15:restartNumberingAfterBreak="0">
    <w:nsid w:val="4FEA0181"/>
    <w:multiLevelType w:val="hybridMultilevel"/>
    <w:tmpl w:val="58DEBFA4"/>
    <w:lvl w:ilvl="0" w:tplc="649298D8">
      <w:start w:val="1"/>
      <w:numFmt w:val="decimal"/>
      <w:lvlText w:val="3.4.%1."/>
      <w:lvlJc w:val="left"/>
      <w:pPr>
        <w:ind w:left="720" w:hanging="360"/>
      </w:pPr>
      <w:rPr>
        <w:rFonts w:hint="default"/>
        <w:b/>
      </w:rPr>
    </w:lvl>
    <w:lvl w:ilvl="1" w:tplc="0B1A37F8" w:tentative="1">
      <w:start w:val="1"/>
      <w:numFmt w:val="lowerLetter"/>
      <w:lvlText w:val="%2."/>
      <w:lvlJc w:val="left"/>
      <w:pPr>
        <w:ind w:left="1440" w:hanging="360"/>
      </w:pPr>
    </w:lvl>
    <w:lvl w:ilvl="2" w:tplc="A4CC9E16" w:tentative="1">
      <w:start w:val="1"/>
      <w:numFmt w:val="lowerRoman"/>
      <w:lvlText w:val="%3."/>
      <w:lvlJc w:val="right"/>
      <w:pPr>
        <w:ind w:left="2160" w:hanging="180"/>
      </w:pPr>
    </w:lvl>
    <w:lvl w:ilvl="3" w:tplc="40A0ABF6" w:tentative="1">
      <w:start w:val="1"/>
      <w:numFmt w:val="decimal"/>
      <w:lvlText w:val="%4."/>
      <w:lvlJc w:val="left"/>
      <w:pPr>
        <w:ind w:left="2880" w:hanging="360"/>
      </w:pPr>
    </w:lvl>
    <w:lvl w:ilvl="4" w:tplc="B2340D20" w:tentative="1">
      <w:start w:val="1"/>
      <w:numFmt w:val="lowerLetter"/>
      <w:lvlText w:val="%5."/>
      <w:lvlJc w:val="left"/>
      <w:pPr>
        <w:ind w:left="3600" w:hanging="360"/>
      </w:pPr>
    </w:lvl>
    <w:lvl w:ilvl="5" w:tplc="E19A8E26" w:tentative="1">
      <w:start w:val="1"/>
      <w:numFmt w:val="lowerRoman"/>
      <w:lvlText w:val="%6."/>
      <w:lvlJc w:val="right"/>
      <w:pPr>
        <w:ind w:left="4320" w:hanging="180"/>
      </w:pPr>
    </w:lvl>
    <w:lvl w:ilvl="6" w:tplc="C2A264A8" w:tentative="1">
      <w:start w:val="1"/>
      <w:numFmt w:val="decimal"/>
      <w:lvlText w:val="%7."/>
      <w:lvlJc w:val="left"/>
      <w:pPr>
        <w:ind w:left="5040" w:hanging="360"/>
      </w:pPr>
    </w:lvl>
    <w:lvl w:ilvl="7" w:tplc="08C6EE78" w:tentative="1">
      <w:start w:val="1"/>
      <w:numFmt w:val="lowerLetter"/>
      <w:lvlText w:val="%8."/>
      <w:lvlJc w:val="left"/>
      <w:pPr>
        <w:ind w:left="5760" w:hanging="360"/>
      </w:pPr>
    </w:lvl>
    <w:lvl w:ilvl="8" w:tplc="127CA530"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oNotTrackMov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F4"/>
    <w:rsid w:val="000036F4"/>
    <w:rsid w:val="00015399"/>
    <w:rsid w:val="00075C5D"/>
    <w:rsid w:val="000C3A6C"/>
    <w:rsid w:val="000D008E"/>
    <w:rsid w:val="000E46F7"/>
    <w:rsid w:val="00100235"/>
    <w:rsid w:val="001115D3"/>
    <w:rsid w:val="00134D01"/>
    <w:rsid w:val="001468FE"/>
    <w:rsid w:val="001745D4"/>
    <w:rsid w:val="001A04D0"/>
    <w:rsid w:val="001A1F18"/>
    <w:rsid w:val="001A1FFD"/>
    <w:rsid w:val="001A217E"/>
    <w:rsid w:val="001A43C6"/>
    <w:rsid w:val="001B76A3"/>
    <w:rsid w:val="001D3D1D"/>
    <w:rsid w:val="001E1CDF"/>
    <w:rsid w:val="00203B3F"/>
    <w:rsid w:val="0021324A"/>
    <w:rsid w:val="0022509F"/>
    <w:rsid w:val="00227597"/>
    <w:rsid w:val="00262AC2"/>
    <w:rsid w:val="0029376E"/>
    <w:rsid w:val="00294878"/>
    <w:rsid w:val="0030305E"/>
    <w:rsid w:val="003225C9"/>
    <w:rsid w:val="00391927"/>
    <w:rsid w:val="003B3EAF"/>
    <w:rsid w:val="003C0B64"/>
    <w:rsid w:val="004038A3"/>
    <w:rsid w:val="00436BAC"/>
    <w:rsid w:val="004435B4"/>
    <w:rsid w:val="004730E0"/>
    <w:rsid w:val="00487596"/>
    <w:rsid w:val="004B2D3F"/>
    <w:rsid w:val="004C471C"/>
    <w:rsid w:val="005619C8"/>
    <w:rsid w:val="00586221"/>
    <w:rsid w:val="00595F8E"/>
    <w:rsid w:val="005B27FD"/>
    <w:rsid w:val="005C4A2A"/>
    <w:rsid w:val="005E29BF"/>
    <w:rsid w:val="005F2D1A"/>
    <w:rsid w:val="00605728"/>
    <w:rsid w:val="0062265A"/>
    <w:rsid w:val="0067712B"/>
    <w:rsid w:val="006A02E1"/>
    <w:rsid w:val="006B6DC6"/>
    <w:rsid w:val="006C11DB"/>
    <w:rsid w:val="00720CD1"/>
    <w:rsid w:val="00732C7B"/>
    <w:rsid w:val="00746EF6"/>
    <w:rsid w:val="00757F6C"/>
    <w:rsid w:val="007B10B7"/>
    <w:rsid w:val="007B184B"/>
    <w:rsid w:val="007B3BF3"/>
    <w:rsid w:val="007B4B26"/>
    <w:rsid w:val="007B7C71"/>
    <w:rsid w:val="007D7593"/>
    <w:rsid w:val="008119DB"/>
    <w:rsid w:val="00830D21"/>
    <w:rsid w:val="008E3176"/>
    <w:rsid w:val="008F4056"/>
    <w:rsid w:val="00901748"/>
    <w:rsid w:val="009205FE"/>
    <w:rsid w:val="00927D0E"/>
    <w:rsid w:val="00944F2A"/>
    <w:rsid w:val="00954331"/>
    <w:rsid w:val="009733E3"/>
    <w:rsid w:val="009746A9"/>
    <w:rsid w:val="00975708"/>
    <w:rsid w:val="00980168"/>
    <w:rsid w:val="009B460E"/>
    <w:rsid w:val="009E08D4"/>
    <w:rsid w:val="009E589D"/>
    <w:rsid w:val="00A1407C"/>
    <w:rsid w:val="00A26325"/>
    <w:rsid w:val="00A313BE"/>
    <w:rsid w:val="00A45F79"/>
    <w:rsid w:val="00A61716"/>
    <w:rsid w:val="00A93572"/>
    <w:rsid w:val="00AA368E"/>
    <w:rsid w:val="00AD7BA7"/>
    <w:rsid w:val="00AE4427"/>
    <w:rsid w:val="00AF468D"/>
    <w:rsid w:val="00B05399"/>
    <w:rsid w:val="00B72888"/>
    <w:rsid w:val="00B72DE6"/>
    <w:rsid w:val="00C549F6"/>
    <w:rsid w:val="00C54D3B"/>
    <w:rsid w:val="00C625F2"/>
    <w:rsid w:val="00C81A89"/>
    <w:rsid w:val="00CD1C39"/>
    <w:rsid w:val="00CF5C17"/>
    <w:rsid w:val="00CF6651"/>
    <w:rsid w:val="00CF79E8"/>
    <w:rsid w:val="00D11CEF"/>
    <w:rsid w:val="00D12FFC"/>
    <w:rsid w:val="00D30DE7"/>
    <w:rsid w:val="00D7146D"/>
    <w:rsid w:val="00D72C03"/>
    <w:rsid w:val="00D97F3C"/>
    <w:rsid w:val="00DA3A07"/>
    <w:rsid w:val="00DA64F7"/>
    <w:rsid w:val="00DB5A43"/>
    <w:rsid w:val="00DD13D2"/>
    <w:rsid w:val="00DD3B14"/>
    <w:rsid w:val="00DF558B"/>
    <w:rsid w:val="00E11C4C"/>
    <w:rsid w:val="00E54968"/>
    <w:rsid w:val="00E624FD"/>
    <w:rsid w:val="00EC646C"/>
    <w:rsid w:val="00EF3BF3"/>
    <w:rsid w:val="00EF4E22"/>
    <w:rsid w:val="00F15AAE"/>
    <w:rsid w:val="00F636EE"/>
    <w:rsid w:val="00F74BE6"/>
    <w:rsid w:val="00F860AD"/>
    <w:rsid w:val="00F92652"/>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0953FD"/>
  <w15:docId w15:val="{FDF232A0-02F3-41C8-85E5-22284801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262631D990A0672A69D4A670CE9A1F1F19603965301D0177FBB10250A690F684234F070FCA9EF3I5wE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F262631D990A0672A69D4A670CE9A1F1F19603965301D0177FBB10250A690F684234F070FCA9EF3I5wF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9F0I5wE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consultantplus://offline/ref=1F262631D990A0672A69D4A670CE9A1F1F19603965301D0177FBB10250A690F684234F070FCA9EF3I5wEH" TargetMode="External"/><Relationship Id="rId4" Type="http://schemas.openxmlformats.org/officeDocument/2006/relationships/customXml" Target="../customXml/item4.xml"/><Relationship Id="rId9" Type="http://schemas.openxmlformats.org/officeDocument/2006/relationships/hyperlink" Target="consultantplus://offline/ref=1F262631D990A0672A69D4A670CE9A1F1F19603965301D0177FBB10250A690F684234F070FCA9EF3I5w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502E17E64C86744B7C1C800706B090A" ma:contentTypeVersion="0" ma:contentTypeDescription="Создание документа." ma:contentTypeScope="" ma:versionID="fa0f804cb30a731110ad7e843b8960c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2.xml><?xml version="1.0" encoding="utf-8"?>
<ds:datastoreItem xmlns:ds="http://schemas.openxmlformats.org/officeDocument/2006/customXml" ds:itemID="{32177A5B-76F4-4FBD-ACCB-7B759794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BBC176-4A57-4A6F-B6E2-E7CA70DC4D3F}">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4D3C4-E2E6-4419-AC36-50E827CB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Базаров Константин Валерьянович</cp:lastModifiedBy>
  <cp:revision>2</cp:revision>
  <cp:lastPrinted>2021-05-20T11:13:00Z</cp:lastPrinted>
  <dcterms:created xsi:type="dcterms:W3CDTF">2025-05-12T09:04:00Z</dcterms:created>
  <dcterms:modified xsi:type="dcterms:W3CDTF">2025-05-12T09:04:00Z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0x010100B502E17E64C86744B7C1C800706B090A</vt:lpwstr>
  </property>
</Properties>
</file>